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top w:w="170" w:type="dxa"/>
          <w:left w:w="57" w:type="dxa"/>
          <w:bottom w:w="170" w:type="dxa"/>
          <w:right w:w="57" w:type="dxa"/>
        </w:tblCellMar>
        <w:tblLook w:val="0000" w:firstRow="0" w:lastRow="0" w:firstColumn="0" w:lastColumn="0" w:noHBand="0" w:noVBand="0"/>
      </w:tblPr>
      <w:tblGrid>
        <w:gridCol w:w="9638"/>
      </w:tblGrid>
      <w:tr w:rsidR="00EB57BA" w14:paraId="4949B7D8" w14:textId="77777777">
        <w:trPr>
          <w:trHeight w:val="2100"/>
        </w:trPr>
        <w:tc>
          <w:tcPr>
            <w:tcW w:w="9638" w:type="dxa"/>
          </w:tcPr>
          <w:p w14:paraId="71F1189A" w14:textId="539921E9" w:rsidR="00EB57BA" w:rsidRDefault="00715618">
            <w:pPr>
              <w:pStyle w:val="Contenudetableau"/>
              <w:jc w:val="center"/>
              <w:rPr>
                <w:rFonts w:ascii="Arial" w:hAnsi="Arial"/>
              </w:rPr>
            </w:pPr>
            <w:r>
              <w:rPr>
                <w:noProof/>
              </w:rPr>
              <w:drawing>
                <wp:anchor distT="0" distB="0" distL="114300" distR="114300" simplePos="0" relativeHeight="251659264" behindDoc="0" locked="0" layoutInCell="1" allowOverlap="1" wp14:anchorId="6EF5E48A" wp14:editId="7873F3F0">
                  <wp:simplePos x="0" y="0"/>
                  <wp:positionH relativeFrom="column">
                    <wp:posOffset>196216</wp:posOffset>
                  </wp:positionH>
                  <wp:positionV relativeFrom="paragraph">
                    <wp:posOffset>-370840</wp:posOffset>
                  </wp:positionV>
                  <wp:extent cx="735640" cy="781050"/>
                  <wp:effectExtent l="0" t="0" r="7620" b="0"/>
                  <wp:wrapNone/>
                  <wp:docPr id="1" name="Logo FIPHFP" descr="Logo du FIPH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PHFP" descr="Logo du FIPHFP"/>
                          <pic:cNvPicPr>
                            <a:picLocks noChangeAspect="1" noChangeArrowheads="1"/>
                          </pic:cNvPicPr>
                        </pic:nvPicPr>
                        <pic:blipFill>
                          <a:blip r:embed="rId4" cstate="print">
                            <a:extLst>
                              <a:ext uri="{28A0092B-C50C-407E-A947-70E740481C1C}">
                                <a14:useLocalDpi xmlns:a14="http://schemas.microsoft.com/office/drawing/2010/main" val="0"/>
                              </a:ext>
                            </a:extLst>
                          </a:blip>
                          <a:srcRect b="-10249"/>
                          <a:stretch>
                            <a:fillRect/>
                          </a:stretch>
                        </pic:blipFill>
                        <pic:spPr bwMode="auto">
                          <a:xfrm>
                            <a:off x="0" y="0"/>
                            <a:ext cx="737305" cy="782817"/>
                          </a:xfrm>
                          <a:prstGeom prst="rect">
                            <a:avLst/>
                          </a:prstGeom>
                        </pic:spPr>
                      </pic:pic>
                    </a:graphicData>
                  </a:graphic>
                  <wp14:sizeRelH relativeFrom="page">
                    <wp14:pctWidth>0</wp14:pctWidth>
                  </wp14:sizeRelH>
                  <wp14:sizeRelV relativeFrom="page">
                    <wp14:pctHeight>0</wp14:pctHeight>
                  </wp14:sizeRelV>
                </wp:anchor>
              </w:drawing>
            </w:r>
            <w:r w:rsidR="00730D47">
              <w:rPr>
                <w:rFonts w:ascii="Arial" w:hAnsi="Arial"/>
                <w:noProof/>
              </w:rPr>
              <w:drawing>
                <wp:inline distT="0" distB="0" distL="0" distR="0" wp14:anchorId="34B6BE1D" wp14:editId="268D009E">
                  <wp:extent cx="2334638" cy="1271589"/>
                  <wp:effectExtent l="0" t="0" r="0" b="0"/>
                  <wp:docPr id="1741373754" name="Image 1"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73754" name="Image 1" descr="Une image contenant Police, Graphique, capture d’écran, graphism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4500" cy="1293300"/>
                          </a:xfrm>
                          <a:prstGeom prst="rect">
                            <a:avLst/>
                          </a:prstGeom>
                        </pic:spPr>
                      </pic:pic>
                    </a:graphicData>
                  </a:graphic>
                </wp:inline>
              </w:drawing>
            </w:r>
          </w:p>
        </w:tc>
      </w:tr>
      <w:tr w:rsidR="00EB57BA" w14:paraId="2E4DCC57" w14:textId="77777777">
        <w:trPr>
          <w:trHeight w:val="315"/>
        </w:trPr>
        <w:tc>
          <w:tcPr>
            <w:tcW w:w="9638" w:type="dxa"/>
            <w:shd w:val="clear" w:color="auto" w:fill="23003E"/>
          </w:tcPr>
          <w:p w14:paraId="2C1EA286" w14:textId="77777777" w:rsidR="00EB57BA" w:rsidRDefault="0024565D">
            <w:pPr>
              <w:pStyle w:val="N1"/>
              <w:widowControl w:val="0"/>
            </w:pPr>
            <w:r>
              <w:t xml:space="preserve">La journée </w:t>
            </w:r>
            <w:proofErr w:type="spellStart"/>
            <w:r>
              <w:t>DuoDay</w:t>
            </w:r>
            <w:proofErr w:type="spellEnd"/>
          </w:p>
        </w:tc>
      </w:tr>
      <w:tr w:rsidR="00EB57BA" w14:paraId="3C68F1DD" w14:textId="77777777">
        <w:tc>
          <w:tcPr>
            <w:tcW w:w="9638" w:type="dxa"/>
          </w:tcPr>
          <w:p w14:paraId="79A50164" w14:textId="026CA2F1" w:rsidR="00EB57BA" w:rsidRDefault="0024565D">
            <w:pPr>
              <w:pStyle w:val="NormalWeb"/>
              <w:widowControl w:val="0"/>
              <w:spacing w:before="227"/>
            </w:pPr>
            <w:r>
              <w:t xml:space="preserve">À l’occasion de la Semaine Européenne pour l’Emploi des Personnes Handicapées, </w:t>
            </w:r>
            <w:r>
              <w:rPr>
                <w:b/>
                <w:bCs/>
                <w:color w:val="0000FF"/>
              </w:rPr>
              <w:t>[notre structure]</w:t>
            </w:r>
            <w:r>
              <w:t xml:space="preserve"> participera au </w:t>
            </w:r>
            <w:proofErr w:type="spellStart"/>
            <w:r>
              <w:t>DuoDay</w:t>
            </w:r>
            <w:proofErr w:type="spellEnd"/>
            <w:r>
              <w:t xml:space="preserve"> le 2</w:t>
            </w:r>
            <w:r w:rsidR="00730D47">
              <w:t>0</w:t>
            </w:r>
            <w:r>
              <w:t xml:space="preserve"> novembre 202</w:t>
            </w:r>
            <w:r w:rsidR="00730D47">
              <w:t>5</w:t>
            </w:r>
            <w:r>
              <w:t>.</w:t>
            </w:r>
          </w:p>
          <w:p w14:paraId="4A3346B9" w14:textId="77777777" w:rsidR="00EB57BA" w:rsidRDefault="0024565D">
            <w:pPr>
              <w:pStyle w:val="NormalWeb"/>
              <w:widowControl w:val="0"/>
            </w:pPr>
            <w:r>
              <w:t xml:space="preserve">Le </w:t>
            </w:r>
            <w:proofErr w:type="spellStart"/>
            <w:r>
              <w:t>DuoDay</w:t>
            </w:r>
            <w:proofErr w:type="spellEnd"/>
            <w:r>
              <w:t xml:space="preserve"> est une action nationale, soutenue par l’État, le FIPHFP, l’AGEFIPH, LADAPT, l’ensemble des partenaires de l’emploi, les universités, l’Éducation Nationale, les EA ESAT…  </w:t>
            </w:r>
          </w:p>
          <w:p w14:paraId="2C2D088A" w14:textId="77777777" w:rsidR="00EB57BA" w:rsidRDefault="0024565D">
            <w:pPr>
              <w:pStyle w:val="NormalWeb"/>
              <w:widowControl w:val="0"/>
            </w:pPr>
            <w:r>
              <w:t xml:space="preserve">Cette journée permet à des étudiants, demandeurs d’emploi, lycéens, personnels d’entreprises adaptées ou d’établissements ou services d’aide par le travail, voire des agents…en situation de handicap de découvrir un métier en passant une journée avec un professionnel du secteur public, privé ou associatif. </w:t>
            </w:r>
          </w:p>
          <w:p w14:paraId="56AD6E19" w14:textId="77777777" w:rsidR="00EB57BA" w:rsidRDefault="0024565D">
            <w:pPr>
              <w:pStyle w:val="N2"/>
              <w:widowControl w:val="0"/>
            </w:pPr>
            <w:r>
              <w:t xml:space="preserve">Présentation officielle du </w:t>
            </w:r>
            <w:proofErr w:type="spellStart"/>
            <w:r>
              <w:t>DuoDay</w:t>
            </w:r>
            <w:proofErr w:type="spellEnd"/>
            <w:r>
              <w:t xml:space="preserve"> en vidéo</w:t>
            </w:r>
          </w:p>
          <w:p w14:paraId="5665985C" w14:textId="1B61DA56" w:rsidR="00EB57BA" w:rsidRDefault="00730D47">
            <w:pPr>
              <w:pStyle w:val="NormalWeb"/>
              <w:widowControl w:val="0"/>
              <w:jc w:val="center"/>
            </w:pPr>
            <w:r>
              <w:rPr>
                <w:noProof/>
              </w:rPr>
              <w:drawing>
                <wp:inline distT="0" distB="0" distL="0" distR="0" wp14:anchorId="1401D143" wp14:editId="54FEC0F9">
                  <wp:extent cx="3471970" cy="2071735"/>
                  <wp:effectExtent l="0" t="0" r="0" b="0"/>
                  <wp:docPr id="783188787" name="Image 2" descr="Une image contenant Visage humain, habits, personne, sourire&#10;&#10;Le contenu généré par l’IA peut êtr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88787" name="Image 2" descr="Une image contenant Visage humain, habits, personne, sourire&#10;&#10;Le contenu généré par l’IA peut êtr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499199" cy="2087983"/>
                          </a:xfrm>
                          <a:prstGeom prst="rect">
                            <a:avLst/>
                          </a:prstGeom>
                        </pic:spPr>
                      </pic:pic>
                    </a:graphicData>
                  </a:graphic>
                </wp:inline>
              </w:drawing>
            </w:r>
          </w:p>
          <w:p w14:paraId="4A35FC97" w14:textId="4A0C4BA5" w:rsidR="00730D47" w:rsidRDefault="0024565D" w:rsidP="00730D47">
            <w:pPr>
              <w:pStyle w:val="NormalWeb"/>
              <w:widowControl w:val="0"/>
            </w:pPr>
            <w:r>
              <w:t>Le 2</w:t>
            </w:r>
            <w:r w:rsidR="00730D47">
              <w:t>0</w:t>
            </w:r>
            <w:r w:rsidR="00715618">
              <w:t xml:space="preserve"> </w:t>
            </w:r>
            <w:r>
              <w:t xml:space="preserve">novembre prochain, chaque agent de </w:t>
            </w:r>
            <w:r>
              <w:rPr>
                <w:b/>
                <w:bCs/>
                <w:color w:val="0000FF"/>
              </w:rPr>
              <w:t xml:space="preserve">[notre structure] </w:t>
            </w:r>
            <w:r>
              <w:t>aura donc la possibilité de faire découvrir son métier à une personne en situation de handicap. Ce sont avant tout des personnes travaillant leur projet professionnel ou recherchant un d’emploi</w:t>
            </w:r>
            <w:r w:rsidR="00730D47">
              <w:t>.</w:t>
            </w:r>
          </w:p>
          <w:p w14:paraId="3974FFA3" w14:textId="7269CC65" w:rsidR="00730D47" w:rsidRDefault="00730D47" w:rsidP="00730D47">
            <w:pPr>
              <w:pStyle w:val="NormalWeb"/>
              <w:widowControl w:val="0"/>
              <w:jc w:val="center"/>
            </w:pPr>
            <w:r>
              <w:rPr>
                <w:noProof/>
              </w:rPr>
              <w:drawing>
                <wp:inline distT="0" distB="0" distL="0" distR="0" wp14:anchorId="5FD337D9" wp14:editId="5BB08660">
                  <wp:extent cx="3871719" cy="2163512"/>
                  <wp:effectExtent l="0" t="0" r="1905" b="0"/>
                  <wp:docPr id="1429480356" name="Image 3" descr="Une image contenant texte, Visage humain, capture d’écran, habits&#10;&#10;Le contenu généré par l’IA peut êtr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80356" name="Image 3" descr="Une image contenant texte, Visage humain, capture d’écran, habits&#10;&#10;Le contenu généré par l’IA peut êtr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900336" cy="2179503"/>
                          </a:xfrm>
                          <a:prstGeom prst="rect">
                            <a:avLst/>
                          </a:prstGeom>
                        </pic:spPr>
                      </pic:pic>
                    </a:graphicData>
                  </a:graphic>
                </wp:inline>
              </w:drawing>
            </w:r>
          </w:p>
          <w:p w14:paraId="2AD21E65" w14:textId="77777777" w:rsidR="00EB57BA" w:rsidRDefault="0024565D">
            <w:pPr>
              <w:pStyle w:val="N2"/>
              <w:widowControl w:val="0"/>
            </w:pPr>
            <w:r>
              <w:t xml:space="preserve">Découvrez comment se déroule concrètement l’action </w:t>
            </w:r>
            <w:proofErr w:type="spellStart"/>
            <w:r>
              <w:t>DuoDay</w:t>
            </w:r>
            <w:proofErr w:type="spellEnd"/>
          </w:p>
          <w:p w14:paraId="59E4DFC2" w14:textId="1E5770F7" w:rsidR="00EB57BA" w:rsidRDefault="00EB57BA">
            <w:pPr>
              <w:pStyle w:val="NormalWeb"/>
              <w:widowControl w:val="0"/>
              <w:jc w:val="center"/>
            </w:pPr>
          </w:p>
        </w:tc>
      </w:tr>
      <w:tr w:rsidR="00EB57BA" w14:paraId="04B050C2" w14:textId="77777777">
        <w:tc>
          <w:tcPr>
            <w:tcW w:w="9638" w:type="dxa"/>
            <w:shd w:val="clear" w:color="auto" w:fill="23003E"/>
          </w:tcPr>
          <w:p w14:paraId="211383B4" w14:textId="77777777" w:rsidR="00EB57BA" w:rsidRDefault="0024565D">
            <w:pPr>
              <w:pStyle w:val="N1"/>
              <w:widowControl w:val="0"/>
            </w:pPr>
            <w:r>
              <w:lastRenderedPageBreak/>
              <w:t>Pour aller plus loin</w:t>
            </w:r>
          </w:p>
        </w:tc>
      </w:tr>
      <w:tr w:rsidR="00EB57BA" w14:paraId="38412F54" w14:textId="77777777">
        <w:tc>
          <w:tcPr>
            <w:tcW w:w="9638" w:type="dxa"/>
          </w:tcPr>
          <w:p w14:paraId="7B16D713" w14:textId="77777777" w:rsidR="00EB57BA" w:rsidRDefault="0024565D">
            <w:pPr>
              <w:pStyle w:val="NormalWeb"/>
              <w:widowControl w:val="0"/>
              <w:spacing w:before="227"/>
            </w:pPr>
            <w:r>
              <w:t>Nous pouvons nous interroger quant à l’impact d’une journée découverte d’un métier pour les personnes en situation de handicap au travail. Cette journée permettra à certaines personnes d’écarter un métier qui s’avérera inadapté à leur situation, et pour d’autres, elle sera un vrai déclic, car elle permettra de confirmer un projet professionnel et de lancer leur parcours professionnel.</w:t>
            </w:r>
          </w:p>
          <w:p w14:paraId="3645E160" w14:textId="77777777" w:rsidR="00EB57BA" w:rsidRDefault="0024565D">
            <w:pPr>
              <w:pStyle w:val="N2"/>
              <w:widowControl w:val="0"/>
            </w:pPr>
            <w:r>
              <w:t xml:space="preserve">Bénéfices d’une journée </w:t>
            </w:r>
            <w:proofErr w:type="spellStart"/>
            <w:r>
              <w:t>DuoDay</w:t>
            </w:r>
            <w:proofErr w:type="spellEnd"/>
            <w:r>
              <w:t> : le témoignage d’Hugo au ministère de la Justice</w:t>
            </w:r>
          </w:p>
          <w:p w14:paraId="31E3E1E3" w14:textId="77777777" w:rsidR="00EB57BA" w:rsidRDefault="0024565D">
            <w:pPr>
              <w:pStyle w:val="NormalWeb"/>
              <w:widowControl w:val="0"/>
              <w:jc w:val="center"/>
            </w:pPr>
            <w:r>
              <w:rPr>
                <w:noProof/>
              </w:rPr>
              <w:drawing>
                <wp:inline distT="0" distB="0" distL="0" distR="0" wp14:anchorId="1458FC02" wp14:editId="34C89A97">
                  <wp:extent cx="2926715" cy="1800225"/>
                  <wp:effectExtent l="0" t="0" r="0" b="0"/>
                  <wp:docPr id="4" name="Témoignage Hugo Perron" descr="Vidéo témoignage d'Hugo Perron">
                    <a:hlinkClick xmlns:a="http://schemas.openxmlformats.org/drawingml/2006/main" r:id="rI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émoignage Hugo Perron" descr="Vidéo témoignage d'Hugo Perron">
                            <a:hlinkClick r:id="rId10"/>
                          </pic:cNvPr>
                          <pic:cNvPicPr>
                            <a:picLocks noChangeAspect="1" noChangeArrowheads="1"/>
                          </pic:cNvPicPr>
                        </pic:nvPicPr>
                        <pic:blipFill>
                          <a:blip r:embed="rId11"/>
                          <a:stretch>
                            <a:fillRect/>
                          </a:stretch>
                        </pic:blipFill>
                        <pic:spPr bwMode="auto">
                          <a:xfrm>
                            <a:off x="0" y="0"/>
                            <a:ext cx="2926715" cy="1800225"/>
                          </a:xfrm>
                          <a:prstGeom prst="rect">
                            <a:avLst/>
                          </a:prstGeom>
                        </pic:spPr>
                      </pic:pic>
                    </a:graphicData>
                  </a:graphic>
                </wp:inline>
              </w:drawing>
            </w:r>
          </w:p>
          <w:p w14:paraId="0E5D9C48" w14:textId="4CA9BB8D" w:rsidR="00EB57BA" w:rsidRDefault="0024565D">
            <w:pPr>
              <w:pStyle w:val="NormalWeb"/>
              <w:widowControl w:val="0"/>
              <w:spacing w:after="283"/>
            </w:pPr>
            <w:r>
              <w:t xml:space="preserve">Pour en savoir plus ou participer au </w:t>
            </w:r>
            <w:proofErr w:type="spellStart"/>
            <w:r>
              <w:t>DuoDay</w:t>
            </w:r>
            <w:proofErr w:type="spellEnd"/>
            <w:r>
              <w:t xml:space="preserve"> 202</w:t>
            </w:r>
            <w:r w:rsidR="00730D47">
              <w:t>5</w:t>
            </w:r>
            <w:r>
              <w:t xml:space="preserve">, veuillez prendre contact avec notre référent </w:t>
            </w:r>
            <w:proofErr w:type="spellStart"/>
            <w:r>
              <w:t>DuoDay</w:t>
            </w:r>
            <w:proofErr w:type="spellEnd"/>
            <w:r>
              <w:t xml:space="preserve"> : </w:t>
            </w:r>
            <w:r>
              <w:rPr>
                <w:b/>
                <w:bCs/>
                <w:color w:val="0000FF"/>
              </w:rPr>
              <w:t>[Prénom, Nom, E-mail, Téléphone]</w:t>
            </w:r>
          </w:p>
        </w:tc>
      </w:tr>
      <w:tr w:rsidR="00EB57BA" w14:paraId="7999AFB8" w14:textId="77777777">
        <w:tc>
          <w:tcPr>
            <w:tcW w:w="9638" w:type="dxa"/>
            <w:shd w:val="clear" w:color="auto" w:fill="23003E"/>
          </w:tcPr>
          <w:p w14:paraId="37C173B2" w14:textId="77777777" w:rsidR="00EB57BA" w:rsidRDefault="0024565D">
            <w:pPr>
              <w:pStyle w:val="N1"/>
              <w:widowControl w:val="0"/>
              <w:spacing w:before="28" w:after="113"/>
            </w:pPr>
            <w:r>
              <w:t>Pour suivre l’actualité du FIPHFP et du Handi-Pacte</w:t>
            </w:r>
          </w:p>
          <w:tbl>
            <w:tblPr>
              <w:tblW w:w="2000" w:type="pct"/>
              <w:jc w:val="center"/>
              <w:tblLayout w:type="fixed"/>
              <w:tblCellMar>
                <w:top w:w="55" w:type="dxa"/>
                <w:left w:w="55" w:type="dxa"/>
                <w:bottom w:w="55" w:type="dxa"/>
                <w:right w:w="55" w:type="dxa"/>
              </w:tblCellMar>
              <w:tblLook w:val="0000" w:firstRow="0" w:lastRow="0" w:firstColumn="0" w:lastColumn="0" w:noHBand="0" w:noVBand="0"/>
            </w:tblPr>
            <w:tblGrid>
              <w:gridCol w:w="952"/>
              <w:gridCol w:w="953"/>
              <w:gridCol w:w="951"/>
              <w:gridCol w:w="954"/>
            </w:tblGrid>
            <w:tr w:rsidR="00EB57BA" w14:paraId="5F56C4F4" w14:textId="77777777">
              <w:trPr>
                <w:jc w:val="center"/>
              </w:trPr>
              <w:tc>
                <w:tcPr>
                  <w:tcW w:w="952" w:type="dxa"/>
                </w:tcPr>
                <w:p w14:paraId="138046C3" w14:textId="77777777" w:rsidR="00EB57BA" w:rsidRDefault="0024565D">
                  <w:pPr>
                    <w:pStyle w:val="Contenudetableau"/>
                    <w:jc w:val="center"/>
                    <w:rPr>
                      <w:rFonts w:ascii="Arial" w:hAnsi="Arial"/>
                    </w:rPr>
                  </w:pPr>
                  <w:r>
                    <w:rPr>
                      <w:noProof/>
                    </w:rPr>
                    <w:drawing>
                      <wp:inline distT="0" distB="0" distL="0" distR="0" wp14:anchorId="0EDF5FBC" wp14:editId="2A6870B6">
                        <wp:extent cx="394970" cy="394970"/>
                        <wp:effectExtent l="0" t="0" r="0" b="0"/>
                        <wp:docPr id="5" name="Imag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a:hlinkClick r:id="rId12"/>
                                </pic:cNvPr>
                                <pic:cNvPicPr>
                                  <a:picLocks noChangeAspect="1" noChangeArrowheads="1"/>
                                </pic:cNvPicPr>
                              </pic:nvPicPr>
                              <pic:blipFill>
                                <a:blip r:embed="rId13"/>
                                <a:stretch>
                                  <a:fillRect/>
                                </a:stretch>
                              </pic:blipFill>
                              <pic:spPr bwMode="auto">
                                <a:xfrm>
                                  <a:off x="0" y="0"/>
                                  <a:ext cx="394970" cy="394970"/>
                                </a:xfrm>
                                <a:prstGeom prst="rect">
                                  <a:avLst/>
                                </a:prstGeom>
                              </pic:spPr>
                            </pic:pic>
                          </a:graphicData>
                        </a:graphic>
                      </wp:inline>
                    </w:drawing>
                  </w:r>
                </w:p>
              </w:tc>
              <w:tc>
                <w:tcPr>
                  <w:tcW w:w="952" w:type="dxa"/>
                </w:tcPr>
                <w:p w14:paraId="3B276B2D" w14:textId="77777777" w:rsidR="00EB57BA" w:rsidRDefault="0024565D">
                  <w:pPr>
                    <w:pStyle w:val="Contenudetableau"/>
                    <w:jc w:val="center"/>
                    <w:rPr>
                      <w:rFonts w:ascii="Arial" w:hAnsi="Arial"/>
                    </w:rPr>
                  </w:pPr>
                  <w:r>
                    <w:rPr>
                      <w:noProof/>
                    </w:rPr>
                    <w:drawing>
                      <wp:inline distT="0" distB="0" distL="0" distR="0" wp14:anchorId="03B8BF8D" wp14:editId="619937FF">
                        <wp:extent cx="394970" cy="394970"/>
                        <wp:effectExtent l="0" t="0" r="0" b="0"/>
                        <wp:docPr id="6" name="Image 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5">
                                  <a:hlinkClick r:id="rId14"/>
                                </pic:cNvPr>
                                <pic:cNvPicPr>
                                  <a:picLocks noChangeAspect="1" noChangeArrowheads="1"/>
                                </pic:cNvPicPr>
                              </pic:nvPicPr>
                              <pic:blipFill>
                                <a:blip r:embed="rId15"/>
                                <a:stretch>
                                  <a:fillRect/>
                                </a:stretch>
                              </pic:blipFill>
                              <pic:spPr bwMode="auto">
                                <a:xfrm>
                                  <a:off x="0" y="0"/>
                                  <a:ext cx="394970" cy="394970"/>
                                </a:xfrm>
                                <a:prstGeom prst="rect">
                                  <a:avLst/>
                                </a:prstGeom>
                              </pic:spPr>
                            </pic:pic>
                          </a:graphicData>
                        </a:graphic>
                      </wp:inline>
                    </w:drawing>
                  </w:r>
                </w:p>
              </w:tc>
              <w:tc>
                <w:tcPr>
                  <w:tcW w:w="951" w:type="dxa"/>
                </w:tcPr>
                <w:p w14:paraId="724769FF" w14:textId="77777777" w:rsidR="00EB57BA" w:rsidRDefault="0024565D">
                  <w:pPr>
                    <w:pStyle w:val="Contenudetableau"/>
                    <w:jc w:val="center"/>
                    <w:rPr>
                      <w:rFonts w:ascii="Arial" w:hAnsi="Arial"/>
                    </w:rPr>
                  </w:pPr>
                  <w:r>
                    <w:rPr>
                      <w:noProof/>
                    </w:rPr>
                    <w:drawing>
                      <wp:inline distT="0" distB="0" distL="0" distR="0" wp14:anchorId="4E061F2E" wp14:editId="5BE716FA">
                        <wp:extent cx="402590" cy="402590"/>
                        <wp:effectExtent l="0" t="0" r="0" b="0"/>
                        <wp:docPr id="7" name="Imag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6">
                                  <a:hlinkClick r:id="rId16"/>
                                </pic:cNvPr>
                                <pic:cNvPicPr>
                                  <a:picLocks noChangeAspect="1" noChangeArrowheads="1"/>
                                </pic:cNvPicPr>
                              </pic:nvPicPr>
                              <pic:blipFill>
                                <a:blip r:embed="rId17"/>
                                <a:stretch>
                                  <a:fillRect/>
                                </a:stretch>
                              </pic:blipFill>
                              <pic:spPr bwMode="auto">
                                <a:xfrm>
                                  <a:off x="0" y="0"/>
                                  <a:ext cx="402590" cy="402590"/>
                                </a:xfrm>
                                <a:prstGeom prst="rect">
                                  <a:avLst/>
                                </a:prstGeom>
                              </pic:spPr>
                            </pic:pic>
                          </a:graphicData>
                        </a:graphic>
                      </wp:inline>
                    </w:drawing>
                  </w:r>
                </w:p>
              </w:tc>
              <w:tc>
                <w:tcPr>
                  <w:tcW w:w="953" w:type="dxa"/>
                </w:tcPr>
                <w:p w14:paraId="38BA54DF" w14:textId="77777777" w:rsidR="00EB57BA" w:rsidRDefault="0024565D">
                  <w:pPr>
                    <w:pStyle w:val="Contenudetableau"/>
                    <w:jc w:val="center"/>
                    <w:rPr>
                      <w:rFonts w:ascii="Arial" w:hAnsi="Arial"/>
                    </w:rPr>
                  </w:pPr>
                  <w:r>
                    <w:rPr>
                      <w:noProof/>
                    </w:rPr>
                    <w:drawing>
                      <wp:inline distT="0" distB="0" distL="0" distR="0" wp14:anchorId="4B696AE8" wp14:editId="26372A50">
                        <wp:extent cx="431800" cy="431800"/>
                        <wp:effectExtent l="0" t="0" r="0" b="0"/>
                        <wp:docPr id="8" name="Image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7">
                                  <a:hlinkClick r:id="rId18"/>
                                </pic:cNvPr>
                                <pic:cNvPicPr>
                                  <a:picLocks noChangeAspect="1" noChangeArrowheads="1"/>
                                </pic:cNvPicPr>
                              </pic:nvPicPr>
                              <pic:blipFill>
                                <a:blip r:embed="rId19"/>
                                <a:stretch>
                                  <a:fillRect/>
                                </a:stretch>
                              </pic:blipFill>
                              <pic:spPr bwMode="auto">
                                <a:xfrm>
                                  <a:off x="0" y="0"/>
                                  <a:ext cx="431800" cy="431800"/>
                                </a:xfrm>
                                <a:prstGeom prst="rect">
                                  <a:avLst/>
                                </a:prstGeom>
                              </pic:spPr>
                            </pic:pic>
                          </a:graphicData>
                        </a:graphic>
                      </wp:inline>
                    </w:drawing>
                  </w:r>
                </w:p>
              </w:tc>
            </w:tr>
          </w:tbl>
          <w:p w14:paraId="1ECEAB98" w14:textId="77777777" w:rsidR="00EB57BA" w:rsidRDefault="00EB57BA">
            <w:pPr>
              <w:pStyle w:val="N1"/>
              <w:widowControl w:val="0"/>
            </w:pPr>
          </w:p>
        </w:tc>
      </w:tr>
      <w:tr w:rsidR="00EB57BA" w14:paraId="0BDAD8CA" w14:textId="77777777">
        <w:tc>
          <w:tcPr>
            <w:tcW w:w="9638" w:type="dxa"/>
          </w:tcPr>
          <w:tbl>
            <w:tblPr>
              <w:tblW w:w="4100" w:type="pct"/>
              <w:tblLayout w:type="fixed"/>
              <w:tblCellMar>
                <w:top w:w="284" w:type="dxa"/>
                <w:left w:w="113" w:type="dxa"/>
                <w:right w:w="113" w:type="dxa"/>
              </w:tblCellMar>
              <w:tblLook w:val="0000" w:firstRow="0" w:lastRow="0" w:firstColumn="0" w:lastColumn="0" w:noHBand="0" w:noVBand="0"/>
            </w:tblPr>
            <w:tblGrid>
              <w:gridCol w:w="3903"/>
              <w:gridCol w:w="3907"/>
            </w:tblGrid>
            <w:tr w:rsidR="00EB57BA" w14:paraId="059A67B2" w14:textId="77777777">
              <w:tc>
                <w:tcPr>
                  <w:tcW w:w="3902" w:type="dxa"/>
                </w:tcPr>
                <w:p w14:paraId="17F72D51" w14:textId="77777777" w:rsidR="00EB57BA" w:rsidRDefault="0024565D">
                  <w:pPr>
                    <w:pStyle w:val="Contenudetableau"/>
                    <w:jc w:val="right"/>
                    <w:rPr>
                      <w:rFonts w:ascii="Arial" w:hAnsi="Arial"/>
                    </w:rPr>
                  </w:pPr>
                  <w:r>
                    <w:rPr>
                      <w:noProof/>
                    </w:rPr>
                    <w:drawing>
                      <wp:inline distT="0" distB="0" distL="0" distR="0" wp14:anchorId="2D5F0559" wp14:editId="315CE958">
                        <wp:extent cx="821055" cy="82804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20"/>
                                <a:stretch>
                                  <a:fillRect/>
                                </a:stretch>
                              </pic:blipFill>
                              <pic:spPr bwMode="auto">
                                <a:xfrm>
                                  <a:off x="0" y="0"/>
                                  <a:ext cx="821055" cy="828040"/>
                                </a:xfrm>
                                <a:prstGeom prst="rect">
                                  <a:avLst/>
                                </a:prstGeom>
                              </pic:spPr>
                            </pic:pic>
                          </a:graphicData>
                        </a:graphic>
                      </wp:inline>
                    </w:drawing>
                  </w:r>
                </w:p>
              </w:tc>
              <w:tc>
                <w:tcPr>
                  <w:tcW w:w="3906" w:type="dxa"/>
                </w:tcPr>
                <w:p w14:paraId="00923F7E" w14:textId="77777777" w:rsidR="00EB57BA" w:rsidRDefault="0024565D">
                  <w:pPr>
                    <w:pStyle w:val="Contenudetableau"/>
                    <w:rPr>
                      <w:rFonts w:ascii="Arial" w:hAnsi="Arial"/>
                    </w:rPr>
                  </w:pPr>
                  <w:r>
                    <w:rPr>
                      <w:noProof/>
                    </w:rPr>
                    <w:drawing>
                      <wp:inline distT="0" distB="0" distL="0" distR="0" wp14:anchorId="5470AFC8" wp14:editId="02146B32">
                        <wp:extent cx="1969135" cy="828040"/>
                        <wp:effectExtent l="0" t="0" r="0" b="0"/>
                        <wp:docPr id="1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8"/>
                                <pic:cNvPicPr>
                                  <a:picLocks noChangeAspect="1" noChangeArrowheads="1"/>
                                </pic:cNvPicPr>
                              </pic:nvPicPr>
                              <pic:blipFill>
                                <a:blip r:embed="rId21"/>
                                <a:srcRect b="17332"/>
                                <a:stretch>
                                  <a:fillRect/>
                                </a:stretch>
                              </pic:blipFill>
                              <pic:spPr bwMode="auto">
                                <a:xfrm>
                                  <a:off x="0" y="0"/>
                                  <a:ext cx="1969135" cy="828040"/>
                                </a:xfrm>
                                <a:prstGeom prst="rect">
                                  <a:avLst/>
                                </a:prstGeom>
                              </pic:spPr>
                            </pic:pic>
                          </a:graphicData>
                        </a:graphic>
                      </wp:inline>
                    </w:drawing>
                  </w:r>
                </w:p>
              </w:tc>
            </w:tr>
          </w:tbl>
          <w:p w14:paraId="0F88BD82" w14:textId="77777777" w:rsidR="00EB57BA" w:rsidRDefault="00EB57BA">
            <w:pPr>
              <w:pStyle w:val="Contenudetableau"/>
              <w:rPr>
                <w:rFonts w:ascii="Arial" w:hAnsi="Arial"/>
              </w:rPr>
            </w:pPr>
          </w:p>
        </w:tc>
      </w:tr>
      <w:tr w:rsidR="00EB57BA" w14:paraId="51D63EAE" w14:textId="77777777">
        <w:tc>
          <w:tcPr>
            <w:tcW w:w="9638" w:type="dxa"/>
          </w:tcPr>
          <w:p w14:paraId="65BB6633" w14:textId="77777777" w:rsidR="00EB57BA" w:rsidRDefault="0024565D">
            <w:pPr>
              <w:pStyle w:val="NormalWeb"/>
              <w:widowControl w:val="0"/>
              <w:spacing w:before="113"/>
              <w:jc w:val="center"/>
              <w:rPr>
                <w:rFonts w:cs="Arial"/>
                <w:color w:val="92B93C"/>
                <w:sz w:val="18"/>
                <w:szCs w:val="18"/>
              </w:rPr>
            </w:pPr>
            <w:r>
              <w:rPr>
                <w:rFonts w:cs="Arial"/>
                <w:color w:val="92B93C"/>
                <w:sz w:val="18"/>
                <w:szCs w:val="18"/>
              </w:rPr>
              <w:t>Ce mail est édité par le Handi-Pacte du FIPHFP Antilles-Guyane</w:t>
            </w:r>
            <w:r>
              <w:rPr>
                <w:rFonts w:cs="Arial"/>
                <w:color w:val="92B93C"/>
                <w:sz w:val="18"/>
                <w:szCs w:val="18"/>
              </w:rPr>
              <w:br/>
              <w:t xml:space="preserve">Contact : Stéphane </w:t>
            </w:r>
            <w:proofErr w:type="spellStart"/>
            <w:r>
              <w:rPr>
                <w:rFonts w:cs="Arial"/>
                <w:color w:val="92B93C"/>
                <w:sz w:val="18"/>
                <w:szCs w:val="18"/>
              </w:rPr>
              <w:t>Gainaux</w:t>
            </w:r>
            <w:proofErr w:type="spellEnd"/>
            <w:r>
              <w:rPr>
                <w:rFonts w:cs="Arial"/>
                <w:color w:val="92B93C"/>
                <w:sz w:val="18"/>
                <w:szCs w:val="18"/>
              </w:rPr>
              <w:t xml:space="preserve"> - </w:t>
            </w:r>
            <w:hyperlink r:id="rId22">
              <w:r>
                <w:rPr>
                  <w:rStyle w:val="Lienhypertexte"/>
                  <w:rFonts w:cs="Arial"/>
                  <w:color w:val="92B93C"/>
                  <w:sz w:val="18"/>
                  <w:szCs w:val="18"/>
                </w:rPr>
                <w:t>contact@ehconseil.fr</w:t>
              </w:r>
            </w:hyperlink>
            <w:r>
              <w:rPr>
                <w:rFonts w:cs="Arial"/>
                <w:color w:val="92B93C"/>
                <w:sz w:val="18"/>
                <w:szCs w:val="18"/>
              </w:rPr>
              <w:t xml:space="preserve"> - téléphone 03 81 84 17 63</w:t>
            </w:r>
          </w:p>
          <w:p w14:paraId="614C93FD" w14:textId="77777777" w:rsidR="00EB57BA" w:rsidRDefault="0024565D">
            <w:pPr>
              <w:widowControl w:val="0"/>
              <w:jc w:val="center"/>
              <w:outlineLvl w:val="0"/>
              <w:rPr>
                <w:rFonts w:ascii="Arial" w:eastAsia="Times New Roman" w:hAnsi="Arial" w:cs="Arial"/>
                <w:b/>
                <w:bCs/>
                <w:color w:val="FFFFFF"/>
                <w:sz w:val="33"/>
                <w:szCs w:val="33"/>
                <w:lang w:eastAsia="fr-FR"/>
              </w:rPr>
            </w:pPr>
            <w:hyperlink r:id="rId23" w:tgtFrame="_blank">
              <w:r>
                <w:rPr>
                  <w:rStyle w:val="Lienhypertexte"/>
                  <w:rFonts w:ascii="Arial" w:hAnsi="Arial" w:cs="Arial"/>
                  <w:color w:val="C9442A"/>
                  <w:sz w:val="18"/>
                  <w:szCs w:val="18"/>
                </w:rPr>
                <w:t>S'abonner à la lettre d'information du FIPHFP</w:t>
              </w:r>
            </w:hyperlink>
          </w:p>
        </w:tc>
      </w:tr>
    </w:tbl>
    <w:p w14:paraId="232F7706" w14:textId="77777777" w:rsidR="00EB57BA" w:rsidRDefault="00EB57BA">
      <w:pPr>
        <w:pStyle w:val="NormalWeb"/>
      </w:pPr>
    </w:p>
    <w:sectPr w:rsidR="00EB57BA">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uto Light">
    <w:altName w:val="Calibri"/>
    <w:panose1 w:val="020B0604020202020204"/>
    <w:charset w:val="00"/>
    <w:family w:val="swiss"/>
    <w:notTrueType/>
    <w:pitch w:val="variable"/>
    <w:sig w:usb0="A00000AF" w:usb1="5000207B" w:usb2="00000000" w:usb3="00000000" w:csb0="00000093"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BA"/>
    <w:rsid w:val="00055D5B"/>
    <w:rsid w:val="001B0177"/>
    <w:rsid w:val="0024565D"/>
    <w:rsid w:val="00715618"/>
    <w:rsid w:val="00730D47"/>
    <w:rsid w:val="00BA4D2E"/>
    <w:rsid w:val="00EB57BA"/>
    <w:rsid w:val="00FC6D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557E"/>
  <w15:docId w15:val="{D1645E34-7146-43D2-9843-8E99E5F5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luto Light" w:eastAsia="NSimSun" w:hAnsi="Pluto Light"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character" w:styleId="Lienhypertextesuivivisit">
    <w:name w:val="FollowedHyperlink"/>
    <w:rPr>
      <w:color w:val="80000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eastAsia="Microsoft YaHei"/>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styleId="NormalWeb">
    <w:name w:val="Normal (Web)"/>
    <w:basedOn w:val="Normal"/>
    <w:qFormat/>
    <w:pPr>
      <w:spacing w:after="170"/>
    </w:pPr>
    <w:rPr>
      <w:rFonts w:ascii="Arial" w:eastAsia="Times New Roman" w:hAnsi="Arial" w:cs="Times New Roman"/>
      <w:sz w:val="20"/>
      <w:lang w:eastAsia="fr-FR"/>
    </w:rPr>
  </w:style>
  <w:style w:type="paragraph" w:customStyle="1" w:styleId="N1">
    <w:name w:val="N1"/>
    <w:qFormat/>
    <w:pPr>
      <w:overflowPunct w:val="0"/>
      <w:jc w:val="center"/>
      <w:outlineLvl w:val="0"/>
    </w:pPr>
    <w:rPr>
      <w:rFonts w:ascii="Arial" w:hAnsi="Arial"/>
      <w:b/>
    </w:rPr>
  </w:style>
  <w:style w:type="paragraph" w:customStyle="1" w:styleId="Titredetableau">
    <w:name w:val="Titre de tableau"/>
    <w:basedOn w:val="Contenudetableau"/>
    <w:qFormat/>
    <w:pPr>
      <w:jc w:val="center"/>
    </w:pPr>
    <w:rPr>
      <w:b/>
      <w:bCs/>
    </w:rPr>
  </w:style>
  <w:style w:type="paragraph" w:customStyle="1" w:styleId="N2">
    <w:name w:val="N2"/>
    <w:qFormat/>
    <w:pPr>
      <w:overflowPunct w:val="0"/>
      <w:spacing w:before="227" w:after="113"/>
      <w:jc w:val="center"/>
      <w:outlineLvl w:val="1"/>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F-kIxpew5q4" TargetMode="External"/><Relationship Id="rId13" Type="http://schemas.openxmlformats.org/officeDocument/2006/relationships/image" Target="media/image6.png"/><Relationship Id="rId18" Type="http://schemas.openxmlformats.org/officeDocument/2006/relationships/hyperlink" Target="https://www.youtube.com/channel/UCGepM40FTwgfGMwYVlvYuTg" TargetMode="Externa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3.png"/><Relationship Id="rId12" Type="http://schemas.openxmlformats.org/officeDocument/2006/relationships/hyperlink" Target="http://www.fiphfp.fr/"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r.linkedin.com/company/fiphfp" TargetMode="External"/><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https://www.youtube.com/watch?v=kz59nS7NlIE"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hyperlink" Target="http://www.fiphfp.fr/newsletter/subscribe" TargetMode="External"/><Relationship Id="rId10" Type="http://schemas.openxmlformats.org/officeDocument/2006/relationships/hyperlink" Target="https://www.youtube.com/watch?v=4K4bjvROgbY" TargetMode="External"/><Relationship Id="rId19" Type="http://schemas.openxmlformats.org/officeDocument/2006/relationships/image" Target="media/image9.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hyperlink" Target="https://twitter.com/FIPHFP" TargetMode="External"/><Relationship Id="rId22" Type="http://schemas.openxmlformats.org/officeDocument/2006/relationships/hyperlink" Target="mailto:contact@ehconse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1711</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GAINAUX</dc:creator>
  <dc:description/>
  <cp:lastModifiedBy>Marie Tissier</cp:lastModifiedBy>
  <cp:revision>3</cp:revision>
  <dcterms:created xsi:type="dcterms:W3CDTF">2025-09-04T16:08:00Z</dcterms:created>
  <dcterms:modified xsi:type="dcterms:W3CDTF">2025-09-04T16:12:00Z</dcterms:modified>
  <dc:language>fr-FR</dc:language>
</cp:coreProperties>
</file>